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0C663" w14:textId="77777777" w:rsidR="004C566C" w:rsidRDefault="004C566C" w:rsidP="004C566C">
      <w:pPr>
        <w:suppressAutoHyphens/>
        <w:spacing w:line="600" w:lineRule="exact"/>
        <w:rPr>
          <w:rFonts w:ascii="Times New Roman" w:eastAsia="黑体" w:hAnsi="Times New Roman"/>
          <w:sz w:val="32"/>
          <w:szCs w:val="40"/>
        </w:rPr>
      </w:pPr>
      <w:r>
        <w:rPr>
          <w:rFonts w:ascii="Times New Roman" w:eastAsia="黑体" w:hAnsi="Times New Roman"/>
          <w:sz w:val="32"/>
          <w:szCs w:val="40"/>
        </w:rPr>
        <w:t>附件</w:t>
      </w:r>
      <w:r>
        <w:rPr>
          <w:rFonts w:ascii="Times New Roman" w:eastAsia="黑体" w:hAnsi="Times New Roman"/>
          <w:sz w:val="32"/>
          <w:szCs w:val="40"/>
        </w:rPr>
        <w:t>2</w:t>
      </w:r>
    </w:p>
    <w:p w14:paraId="4A67B21D" w14:textId="77777777" w:rsidR="004C566C" w:rsidRDefault="004C566C" w:rsidP="004C566C">
      <w:pPr>
        <w:suppressAutoHyphens/>
        <w:spacing w:line="600" w:lineRule="exact"/>
        <w:rPr>
          <w:rFonts w:ascii="Times New Roman" w:eastAsia="黑体" w:hAnsi="Times New Roman"/>
          <w:sz w:val="32"/>
          <w:szCs w:val="40"/>
        </w:rPr>
      </w:pPr>
    </w:p>
    <w:p w14:paraId="0728CD8B" w14:textId="77777777" w:rsidR="004C566C" w:rsidRDefault="004C566C" w:rsidP="004C566C">
      <w:pPr>
        <w:suppressAutoHyphens/>
        <w:spacing w:line="600" w:lineRule="exact"/>
        <w:jc w:val="center"/>
        <w:rPr>
          <w:rFonts w:ascii="Times New Roman" w:eastAsia="方正大标宋简体" w:hAnsi="Times New Roman"/>
          <w:sz w:val="44"/>
          <w:szCs w:val="44"/>
        </w:rPr>
      </w:pPr>
      <w:r>
        <w:rPr>
          <w:rFonts w:ascii="Times New Roman" w:eastAsia="方正大标宋简体" w:hAnsi="Times New Roman"/>
          <w:sz w:val="44"/>
          <w:szCs w:val="44"/>
        </w:rPr>
        <w:t>上市公司重大资产重组预案格式</w:t>
      </w:r>
    </w:p>
    <w:p w14:paraId="4361FA27" w14:textId="77777777" w:rsidR="004C566C" w:rsidRDefault="004C566C" w:rsidP="004C566C">
      <w:pPr>
        <w:pStyle w:val="2"/>
        <w:spacing w:before="240" w:after="240" w:line="600" w:lineRule="exact"/>
        <w:rPr>
          <w:rFonts w:ascii="Times New Roman" w:hAnsi="Times New Roman"/>
          <w:bCs/>
          <w:sz w:val="32"/>
          <w:szCs w:val="32"/>
        </w:rPr>
      </w:pPr>
      <w:r>
        <w:rPr>
          <w:rFonts w:ascii="Times New Roman" w:hAnsi="Times New Roman"/>
          <w:sz w:val="32"/>
          <w:szCs w:val="32"/>
        </w:rPr>
        <w:t>第一节</w:t>
      </w:r>
      <w:r>
        <w:rPr>
          <w:rFonts w:ascii="Times New Roman" w:hAnsi="Times New Roman"/>
          <w:sz w:val="32"/>
          <w:szCs w:val="32"/>
        </w:rPr>
        <w:t xml:space="preserve">  </w:t>
      </w:r>
      <w:r>
        <w:rPr>
          <w:rFonts w:ascii="Times New Roman" w:hAnsi="Times New Roman"/>
          <w:sz w:val="32"/>
          <w:szCs w:val="32"/>
        </w:rPr>
        <w:t>总</w:t>
      </w:r>
      <w:r>
        <w:rPr>
          <w:rFonts w:ascii="Times New Roman" w:hAnsi="Times New Roman"/>
          <w:sz w:val="32"/>
          <w:szCs w:val="32"/>
        </w:rPr>
        <w:t xml:space="preserve">  </w:t>
      </w:r>
      <w:r>
        <w:rPr>
          <w:rFonts w:ascii="Times New Roman" w:hAnsi="Times New Roman"/>
          <w:sz w:val="32"/>
          <w:szCs w:val="32"/>
        </w:rPr>
        <w:t>则</w:t>
      </w:r>
    </w:p>
    <w:p w14:paraId="20C68DE6"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一、上市公司进行重大资产重组的，在首次召开董事会前，相关资产尚未完成审计、估值或评估，应当在首次董事会决议公告的同时按照本指引披露重大资产重组预案（以下简称重组预案）。</w:t>
      </w:r>
    </w:p>
    <w:p w14:paraId="7C3E8153"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二、不论本指引是否有明确规定，凡对上市公司股票及其衍生品交易价格可能产生较大影响或对投资者</w:t>
      </w:r>
      <w:proofErr w:type="gramStart"/>
      <w:r>
        <w:rPr>
          <w:rFonts w:ascii="Times New Roman" w:eastAsia="仿宋" w:hAnsi="Times New Roman" w:hint="eastAsia"/>
          <w:sz w:val="32"/>
          <w:szCs w:val="32"/>
        </w:rPr>
        <w:t>作</w:t>
      </w:r>
      <w:r>
        <w:rPr>
          <w:rFonts w:ascii="Times New Roman" w:eastAsia="仿宋" w:hAnsi="Times New Roman"/>
          <w:sz w:val="32"/>
          <w:szCs w:val="32"/>
        </w:rPr>
        <w:t>出</w:t>
      </w:r>
      <w:proofErr w:type="gramEnd"/>
      <w:r>
        <w:rPr>
          <w:rFonts w:ascii="Times New Roman" w:eastAsia="仿宋" w:hAnsi="Times New Roman"/>
          <w:sz w:val="32"/>
          <w:szCs w:val="32"/>
        </w:rPr>
        <w:t>投资决策有重大影响的信息，均应披露。</w:t>
      </w:r>
    </w:p>
    <w:p w14:paraId="04F44604"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以下格式内容某些具体要求对本次重组预案确实不适用的，上市公司可根据实际情况，在不影响披露内容完整性的前提下予以适当调整，但应当在信息披露时</w:t>
      </w:r>
      <w:proofErr w:type="gramStart"/>
      <w:r>
        <w:rPr>
          <w:rFonts w:ascii="Times New Roman" w:eastAsia="仿宋" w:hAnsi="Times New Roman"/>
          <w:sz w:val="32"/>
          <w:szCs w:val="32"/>
        </w:rPr>
        <w:t>作出</w:t>
      </w:r>
      <w:proofErr w:type="gramEnd"/>
      <w:r>
        <w:rPr>
          <w:rFonts w:ascii="Times New Roman" w:eastAsia="仿宋" w:hAnsi="Times New Roman"/>
          <w:sz w:val="32"/>
          <w:szCs w:val="32"/>
        </w:rPr>
        <w:t>说明。</w:t>
      </w:r>
    </w:p>
    <w:p w14:paraId="2A2EBA7B"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本所可以根据监管实际需要，要求上市公司补充披露其他有关信息。</w:t>
      </w:r>
    </w:p>
    <w:p w14:paraId="5DB4CEE8"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三、上市公司应当在本所网站披露重组预案全文。</w:t>
      </w:r>
    </w:p>
    <w:p w14:paraId="7C728C65" w14:textId="77777777" w:rsidR="004C566C" w:rsidRDefault="004C566C" w:rsidP="004C566C">
      <w:pPr>
        <w:pStyle w:val="2"/>
        <w:spacing w:before="240" w:after="240" w:line="600" w:lineRule="exact"/>
        <w:rPr>
          <w:rFonts w:ascii="Times New Roman" w:hAnsi="Times New Roman"/>
          <w:bCs/>
          <w:sz w:val="32"/>
          <w:szCs w:val="32"/>
        </w:rPr>
      </w:pPr>
      <w:r>
        <w:rPr>
          <w:rFonts w:ascii="Times New Roman" w:hAnsi="Times New Roman"/>
          <w:sz w:val="32"/>
          <w:szCs w:val="32"/>
        </w:rPr>
        <w:t>第二节</w:t>
      </w:r>
      <w:r>
        <w:rPr>
          <w:rFonts w:ascii="Times New Roman" w:hAnsi="Times New Roman"/>
          <w:sz w:val="32"/>
          <w:szCs w:val="32"/>
        </w:rPr>
        <w:t xml:space="preserve">  </w:t>
      </w:r>
      <w:r>
        <w:rPr>
          <w:rFonts w:ascii="Times New Roman" w:hAnsi="Times New Roman"/>
          <w:sz w:val="32"/>
          <w:szCs w:val="32"/>
        </w:rPr>
        <w:t>封面、目录、释义</w:t>
      </w:r>
    </w:p>
    <w:p w14:paraId="5180F108"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四、上市公司应当在重组预案文本封面列明重组预案的标题。重组预案标题应当明确具体交易形式，包括但不限于：</w:t>
      </w:r>
      <w:r>
        <w:rPr>
          <w:rFonts w:ascii="Times New Roman" w:eastAsia="仿宋" w:hAnsi="Times New Roman"/>
          <w:sz w:val="32"/>
          <w:szCs w:val="32"/>
        </w:rPr>
        <w:lastRenderedPageBreak/>
        <w:t>XX</w:t>
      </w:r>
      <w:r>
        <w:rPr>
          <w:rFonts w:ascii="Times New Roman" w:eastAsia="仿宋" w:hAnsi="Times New Roman"/>
          <w:sz w:val="32"/>
          <w:szCs w:val="32"/>
        </w:rPr>
        <w:t>公司重大资产购买预案、</w:t>
      </w:r>
      <w:r>
        <w:rPr>
          <w:rFonts w:ascii="Times New Roman" w:eastAsia="仿宋" w:hAnsi="Times New Roman"/>
          <w:sz w:val="32"/>
          <w:szCs w:val="32"/>
        </w:rPr>
        <w:t>XX</w:t>
      </w:r>
      <w:r>
        <w:rPr>
          <w:rFonts w:ascii="Times New Roman" w:eastAsia="仿宋" w:hAnsi="Times New Roman"/>
          <w:sz w:val="32"/>
          <w:szCs w:val="32"/>
        </w:rPr>
        <w:t>公司重大资产出售预案、</w:t>
      </w:r>
      <w:r>
        <w:rPr>
          <w:rFonts w:ascii="Times New Roman" w:eastAsia="仿宋" w:hAnsi="Times New Roman"/>
          <w:sz w:val="32"/>
          <w:szCs w:val="32"/>
        </w:rPr>
        <w:t>XX</w:t>
      </w:r>
      <w:r>
        <w:rPr>
          <w:rFonts w:ascii="Times New Roman" w:eastAsia="仿宋" w:hAnsi="Times New Roman"/>
          <w:sz w:val="32"/>
          <w:szCs w:val="32"/>
        </w:rPr>
        <w:t>公司重大资产置换预案、</w:t>
      </w:r>
      <w:r>
        <w:rPr>
          <w:rFonts w:ascii="Times New Roman" w:eastAsia="仿宋" w:hAnsi="Times New Roman"/>
          <w:sz w:val="32"/>
          <w:szCs w:val="32"/>
        </w:rPr>
        <w:t>XX</w:t>
      </w:r>
      <w:r>
        <w:rPr>
          <w:rFonts w:ascii="Times New Roman" w:eastAsia="仿宋" w:hAnsi="Times New Roman"/>
          <w:sz w:val="32"/>
          <w:szCs w:val="32"/>
        </w:rPr>
        <w:t>公司发行股份购买资产预案、</w:t>
      </w:r>
      <w:r>
        <w:rPr>
          <w:rFonts w:ascii="Times New Roman" w:eastAsia="仿宋" w:hAnsi="Times New Roman"/>
          <w:sz w:val="32"/>
          <w:szCs w:val="32"/>
        </w:rPr>
        <w:t>XX</w:t>
      </w:r>
      <w:r>
        <w:rPr>
          <w:rFonts w:ascii="Times New Roman" w:eastAsia="仿宋" w:hAnsi="Times New Roman"/>
          <w:sz w:val="32"/>
          <w:szCs w:val="32"/>
        </w:rPr>
        <w:t>公司吸收合并</w:t>
      </w:r>
      <w:r>
        <w:rPr>
          <w:rFonts w:ascii="Times New Roman" w:eastAsia="仿宋" w:hAnsi="Times New Roman"/>
          <w:sz w:val="32"/>
          <w:szCs w:val="32"/>
        </w:rPr>
        <w:t>XX</w:t>
      </w:r>
      <w:r>
        <w:rPr>
          <w:rFonts w:ascii="Times New Roman" w:eastAsia="仿宋" w:hAnsi="Times New Roman"/>
          <w:sz w:val="32"/>
          <w:szCs w:val="32"/>
        </w:rPr>
        <w:t>公司预案。资产重组采取其他交易形式的，应当在标题中予以明确。</w:t>
      </w:r>
    </w:p>
    <w:p w14:paraId="5AABA0F0"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资产重组采取两种以上交易形式组合的，应当在标题中列明，如</w:t>
      </w:r>
      <w:r>
        <w:rPr>
          <w:rFonts w:ascii="仿宋" w:eastAsia="仿宋" w:hAnsi="仿宋" w:cs="仿宋" w:hint="eastAsia"/>
          <w:sz w:val="32"/>
          <w:szCs w:val="32"/>
        </w:rPr>
        <w:t>“</w:t>
      </w:r>
      <w:r>
        <w:rPr>
          <w:rFonts w:ascii="Times New Roman" w:eastAsia="仿宋" w:hAnsi="Times New Roman"/>
          <w:sz w:val="32"/>
          <w:szCs w:val="32"/>
        </w:rPr>
        <w:t>XX</w:t>
      </w:r>
      <w:r>
        <w:rPr>
          <w:rFonts w:ascii="Times New Roman" w:eastAsia="仿宋" w:hAnsi="Times New Roman"/>
          <w:sz w:val="32"/>
          <w:szCs w:val="32"/>
        </w:rPr>
        <w:t>公司重大资产置换及发行股份购买资产预案</w:t>
      </w:r>
      <w:r>
        <w:rPr>
          <w:rFonts w:ascii="仿宋" w:eastAsia="仿宋" w:hAnsi="仿宋" w:cs="仿宋" w:hint="eastAsia"/>
          <w:sz w:val="32"/>
          <w:szCs w:val="32"/>
        </w:rPr>
        <w:t>”</w:t>
      </w:r>
      <w:r>
        <w:rPr>
          <w:rFonts w:ascii="Times New Roman" w:eastAsia="仿宋" w:hAnsi="Times New Roman"/>
          <w:sz w:val="32"/>
          <w:szCs w:val="32"/>
        </w:rPr>
        <w:t>；发行股份购买资产同时募集配套资金的，应当在标题中标明</w:t>
      </w:r>
      <w:r>
        <w:rPr>
          <w:rFonts w:ascii="仿宋" w:eastAsia="仿宋" w:hAnsi="仿宋" w:cs="仿宋" w:hint="eastAsia"/>
          <w:sz w:val="32"/>
          <w:szCs w:val="32"/>
        </w:rPr>
        <w:t>“</w:t>
      </w:r>
      <w:r>
        <w:rPr>
          <w:rFonts w:ascii="Times New Roman" w:eastAsia="仿宋" w:hAnsi="Times New Roman"/>
          <w:sz w:val="32"/>
          <w:szCs w:val="32"/>
        </w:rPr>
        <w:t>并募集配套资金</w:t>
      </w:r>
      <w:r>
        <w:rPr>
          <w:rFonts w:ascii="仿宋" w:eastAsia="仿宋" w:hAnsi="仿宋" w:cs="仿宋" w:hint="eastAsia"/>
          <w:sz w:val="32"/>
          <w:szCs w:val="32"/>
        </w:rPr>
        <w:t>”</w:t>
      </w:r>
      <w:r>
        <w:rPr>
          <w:rFonts w:ascii="Times New Roman" w:eastAsia="仿宋" w:hAnsi="Times New Roman"/>
          <w:sz w:val="32"/>
          <w:szCs w:val="32"/>
        </w:rPr>
        <w:t>，如</w:t>
      </w:r>
      <w:r>
        <w:rPr>
          <w:rFonts w:ascii="仿宋" w:eastAsia="仿宋" w:hAnsi="仿宋" w:cs="仿宋" w:hint="eastAsia"/>
          <w:sz w:val="32"/>
          <w:szCs w:val="32"/>
        </w:rPr>
        <w:t>“</w:t>
      </w:r>
      <w:r>
        <w:rPr>
          <w:rFonts w:ascii="Times New Roman" w:eastAsia="仿宋" w:hAnsi="Times New Roman"/>
          <w:sz w:val="32"/>
          <w:szCs w:val="32"/>
        </w:rPr>
        <w:t>XX</w:t>
      </w:r>
      <w:r>
        <w:rPr>
          <w:rFonts w:ascii="Times New Roman" w:eastAsia="仿宋" w:hAnsi="Times New Roman"/>
          <w:sz w:val="32"/>
          <w:szCs w:val="32"/>
        </w:rPr>
        <w:t>公司发行股份购买资产并募集配套资金预案</w:t>
      </w:r>
      <w:r>
        <w:rPr>
          <w:rFonts w:ascii="仿宋" w:eastAsia="仿宋" w:hAnsi="仿宋" w:cs="仿宋" w:hint="eastAsia"/>
          <w:sz w:val="32"/>
          <w:szCs w:val="32"/>
        </w:rPr>
        <w:t>”</w:t>
      </w:r>
      <w:r>
        <w:rPr>
          <w:rFonts w:ascii="Times New Roman" w:eastAsia="仿宋" w:hAnsi="Times New Roman"/>
          <w:sz w:val="32"/>
          <w:szCs w:val="32"/>
        </w:rPr>
        <w:t>；资产重组构成关联交易的，还应当在标题中标明</w:t>
      </w:r>
      <w:r>
        <w:rPr>
          <w:rFonts w:ascii="仿宋" w:eastAsia="仿宋" w:hAnsi="仿宋" w:cs="仿宋" w:hint="eastAsia"/>
          <w:sz w:val="32"/>
          <w:szCs w:val="32"/>
        </w:rPr>
        <w:t>“</w:t>
      </w:r>
      <w:r>
        <w:rPr>
          <w:rFonts w:ascii="Times New Roman" w:eastAsia="仿宋" w:hAnsi="Times New Roman"/>
          <w:sz w:val="32"/>
          <w:szCs w:val="32"/>
        </w:rPr>
        <w:t>暨关联交易</w:t>
      </w:r>
      <w:r>
        <w:rPr>
          <w:rFonts w:ascii="仿宋" w:eastAsia="仿宋" w:hAnsi="仿宋" w:cs="仿宋" w:hint="eastAsia"/>
          <w:sz w:val="32"/>
          <w:szCs w:val="32"/>
        </w:rPr>
        <w:t>”</w:t>
      </w:r>
      <w:r>
        <w:rPr>
          <w:rFonts w:ascii="Times New Roman" w:eastAsia="仿宋" w:hAnsi="Times New Roman"/>
          <w:sz w:val="32"/>
          <w:szCs w:val="32"/>
        </w:rPr>
        <w:t>的字样，如</w:t>
      </w:r>
      <w:r>
        <w:rPr>
          <w:rFonts w:ascii="仿宋" w:eastAsia="仿宋" w:hAnsi="仿宋" w:cs="仿宋" w:hint="eastAsia"/>
          <w:sz w:val="32"/>
          <w:szCs w:val="32"/>
        </w:rPr>
        <w:t>“</w:t>
      </w:r>
      <w:r>
        <w:rPr>
          <w:rFonts w:ascii="Times New Roman" w:eastAsia="仿宋" w:hAnsi="Times New Roman"/>
          <w:sz w:val="32"/>
          <w:szCs w:val="32"/>
        </w:rPr>
        <w:t>XX</w:t>
      </w:r>
      <w:r>
        <w:rPr>
          <w:rFonts w:ascii="Times New Roman" w:eastAsia="仿宋" w:hAnsi="Times New Roman"/>
          <w:sz w:val="32"/>
          <w:szCs w:val="32"/>
        </w:rPr>
        <w:t>公司重大资产购买暨关联交易预案</w:t>
      </w:r>
      <w:r>
        <w:rPr>
          <w:rFonts w:ascii="仿宋" w:eastAsia="仿宋" w:hAnsi="仿宋" w:cs="仿宋" w:hint="eastAsia"/>
          <w:sz w:val="32"/>
          <w:szCs w:val="32"/>
        </w:rPr>
        <w:t>”</w:t>
      </w:r>
      <w:r>
        <w:rPr>
          <w:rFonts w:ascii="Times New Roman" w:eastAsia="仿宋" w:hAnsi="Times New Roman"/>
          <w:sz w:val="32"/>
          <w:szCs w:val="32"/>
        </w:rPr>
        <w:t>。</w:t>
      </w:r>
    </w:p>
    <w:p w14:paraId="0549F9A6"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封面应当载明上市公司名称、股票代码、股票简称、主要交易对方的名称或姓名、重组预案披露日期、独立财务顾问名称。</w:t>
      </w:r>
    </w:p>
    <w:p w14:paraId="01FAFC59"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五、重组预案的目录应当标明各章、节的标题及相应的页码，内容编排应当符合通行的中文惯例。</w:t>
      </w:r>
    </w:p>
    <w:p w14:paraId="14AF87CD"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六、上市公司应当在重组预案中对可能造成投资者理解障碍及有特定含义的术语</w:t>
      </w:r>
      <w:proofErr w:type="gramStart"/>
      <w:r>
        <w:rPr>
          <w:rFonts w:ascii="Times New Roman" w:eastAsia="仿宋" w:hAnsi="Times New Roman"/>
          <w:sz w:val="32"/>
          <w:szCs w:val="32"/>
        </w:rPr>
        <w:t>作出</w:t>
      </w:r>
      <w:proofErr w:type="gramEnd"/>
      <w:r>
        <w:rPr>
          <w:rFonts w:ascii="Times New Roman" w:eastAsia="仿宋" w:hAnsi="Times New Roman"/>
          <w:sz w:val="32"/>
          <w:szCs w:val="32"/>
        </w:rPr>
        <w:t>释义，释义应当在目录次页排印。</w:t>
      </w:r>
    </w:p>
    <w:p w14:paraId="2CF9700F" w14:textId="77777777" w:rsidR="004C566C" w:rsidRDefault="004C566C" w:rsidP="004C566C">
      <w:pPr>
        <w:pStyle w:val="2"/>
        <w:spacing w:before="240" w:after="240" w:line="600" w:lineRule="exact"/>
        <w:rPr>
          <w:rFonts w:ascii="Times New Roman" w:hAnsi="Times New Roman"/>
          <w:bCs/>
          <w:sz w:val="32"/>
          <w:szCs w:val="32"/>
        </w:rPr>
      </w:pPr>
      <w:r>
        <w:rPr>
          <w:rFonts w:ascii="Times New Roman" w:hAnsi="Times New Roman"/>
          <w:sz w:val="32"/>
          <w:szCs w:val="32"/>
        </w:rPr>
        <w:t>第三节</w:t>
      </w:r>
      <w:r>
        <w:rPr>
          <w:rFonts w:ascii="Times New Roman" w:hAnsi="Times New Roman"/>
          <w:sz w:val="32"/>
          <w:szCs w:val="32"/>
        </w:rPr>
        <w:t xml:space="preserve">  </w:t>
      </w:r>
      <w:r>
        <w:rPr>
          <w:rFonts w:ascii="Times New Roman" w:hAnsi="Times New Roman"/>
          <w:sz w:val="32"/>
          <w:szCs w:val="32"/>
        </w:rPr>
        <w:t>交易各方声明</w:t>
      </w:r>
    </w:p>
    <w:p w14:paraId="784CBCD9"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七、上市公司应当在重组预案中载明：</w:t>
      </w:r>
      <w:r>
        <w:rPr>
          <w:rFonts w:ascii="仿宋" w:eastAsia="仿宋" w:hAnsi="仿宋" w:cs="仿宋" w:hint="eastAsia"/>
          <w:sz w:val="32"/>
          <w:szCs w:val="32"/>
        </w:rPr>
        <w:t>“</w:t>
      </w:r>
      <w:r>
        <w:rPr>
          <w:rFonts w:ascii="Times New Roman" w:eastAsia="仿宋" w:hAnsi="Times New Roman"/>
          <w:sz w:val="32"/>
          <w:szCs w:val="32"/>
        </w:rPr>
        <w:t>本公司及全体董</w:t>
      </w:r>
      <w:r>
        <w:rPr>
          <w:rFonts w:ascii="Times New Roman" w:eastAsia="仿宋" w:hAnsi="Times New Roman"/>
          <w:sz w:val="32"/>
          <w:szCs w:val="32"/>
        </w:rPr>
        <w:lastRenderedPageBreak/>
        <w:t>事、高级管理人员保证本预案内容的真实、准确、完整，对预案的虚假记载、误导性陈述或者重大遗漏负相应的法律责任</w:t>
      </w:r>
      <w:r>
        <w:rPr>
          <w:rFonts w:ascii="仿宋" w:eastAsia="仿宋" w:hAnsi="仿宋" w:cs="仿宋" w:hint="eastAsia"/>
          <w:sz w:val="32"/>
          <w:szCs w:val="32"/>
        </w:rPr>
        <w:t>”</w:t>
      </w:r>
      <w:r>
        <w:rPr>
          <w:rFonts w:ascii="Times New Roman" w:eastAsia="仿宋" w:hAnsi="Times New Roman"/>
          <w:sz w:val="32"/>
          <w:szCs w:val="32"/>
        </w:rPr>
        <w:t>。</w:t>
      </w:r>
    </w:p>
    <w:p w14:paraId="32F5C306"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上市公司董事会应当声明：</w:t>
      </w:r>
      <w:r>
        <w:rPr>
          <w:rFonts w:ascii="仿宋" w:eastAsia="仿宋" w:hAnsi="仿宋" w:cs="仿宋" w:hint="eastAsia"/>
          <w:sz w:val="32"/>
          <w:szCs w:val="32"/>
        </w:rPr>
        <w:t>“</w:t>
      </w:r>
      <w:r>
        <w:rPr>
          <w:rFonts w:ascii="Times New Roman" w:eastAsia="仿宋" w:hAnsi="Times New Roman"/>
          <w:sz w:val="32"/>
          <w:szCs w:val="32"/>
        </w:rPr>
        <w:t>本预案所述事项并不代表中国证监会、北京证券交易所对于本次重大资产重组相关事项的实质性判断、确认或批准。本预案所述本次重大资产重组相关事项的生效和完成尚待取得</w:t>
      </w:r>
      <w:r>
        <w:rPr>
          <w:rFonts w:ascii="Times New Roman" w:eastAsia="仿宋" w:hAnsi="Times New Roman" w:hint="eastAsia"/>
          <w:sz w:val="32"/>
          <w:szCs w:val="32"/>
        </w:rPr>
        <w:t>北京证券交易所的审核、</w:t>
      </w:r>
      <w:r>
        <w:rPr>
          <w:rFonts w:ascii="Times New Roman" w:eastAsia="仿宋" w:hAnsi="Times New Roman"/>
          <w:sz w:val="32"/>
          <w:szCs w:val="32"/>
        </w:rPr>
        <w:t>中国证监会的注册（如适用）</w:t>
      </w:r>
      <w:r>
        <w:rPr>
          <w:rFonts w:ascii="仿宋" w:eastAsia="仿宋" w:hAnsi="仿宋" w:cs="仿宋" w:hint="eastAsia"/>
          <w:sz w:val="32"/>
          <w:szCs w:val="32"/>
        </w:rPr>
        <w:t>”</w:t>
      </w:r>
      <w:r>
        <w:rPr>
          <w:rFonts w:ascii="Times New Roman" w:eastAsia="仿宋" w:hAnsi="Times New Roman"/>
          <w:sz w:val="32"/>
          <w:szCs w:val="32"/>
        </w:rPr>
        <w:t>。</w:t>
      </w:r>
    </w:p>
    <w:p w14:paraId="19479021"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八、交易对方应当声明：</w:t>
      </w:r>
      <w:r>
        <w:rPr>
          <w:rFonts w:ascii="仿宋" w:eastAsia="仿宋" w:hAnsi="仿宋" w:cs="仿宋" w:hint="eastAsia"/>
          <w:sz w:val="32"/>
          <w:szCs w:val="32"/>
        </w:rPr>
        <w:t>“</w:t>
      </w:r>
      <w:r>
        <w:rPr>
          <w:rFonts w:ascii="Times New Roman" w:eastAsia="仿宋" w:hAnsi="Times New Roman"/>
          <w:sz w:val="32"/>
          <w:szCs w:val="32"/>
        </w:rPr>
        <w:t>本次重大资产重组的交易对方</w:t>
      </w:r>
      <w:r>
        <w:rPr>
          <w:rFonts w:ascii="Times New Roman" w:eastAsia="仿宋" w:hAnsi="Times New Roman"/>
          <w:sz w:val="32"/>
          <w:szCs w:val="32"/>
        </w:rPr>
        <w:t>XX</w:t>
      </w:r>
      <w:r>
        <w:rPr>
          <w:rFonts w:ascii="Times New Roman" w:eastAsia="仿宋" w:hAnsi="Times New Roman"/>
          <w:sz w:val="32"/>
          <w:szCs w:val="32"/>
        </w:rPr>
        <w:t>已出具承诺函，将及时向上市公司提供本次重组相关信息，并保证所提供的信息真实、准确、完整，如因提供的信息存在虚假记载、误导性陈述或者重大遗漏，给上市公司或者投资者造成损失的，将依法承担相应的法律责任</w:t>
      </w:r>
      <w:r>
        <w:rPr>
          <w:rFonts w:ascii="仿宋" w:eastAsia="仿宋" w:hAnsi="仿宋" w:cs="仿宋" w:hint="eastAsia"/>
          <w:sz w:val="32"/>
          <w:szCs w:val="32"/>
        </w:rPr>
        <w:t>”</w:t>
      </w:r>
      <w:r>
        <w:rPr>
          <w:rFonts w:ascii="Times New Roman" w:eastAsia="仿宋" w:hAnsi="Times New Roman"/>
          <w:sz w:val="32"/>
          <w:szCs w:val="32"/>
        </w:rPr>
        <w:t>。</w:t>
      </w:r>
    </w:p>
    <w:p w14:paraId="6970F862"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九、相关证券服务机构及人员应当声明（如适用）：</w:t>
      </w:r>
      <w:r>
        <w:rPr>
          <w:rFonts w:ascii="仿宋" w:eastAsia="仿宋" w:hAnsi="仿宋" w:cs="仿宋" w:hint="eastAsia"/>
          <w:sz w:val="32"/>
          <w:szCs w:val="32"/>
        </w:rPr>
        <w:t>“</w:t>
      </w:r>
      <w:r>
        <w:rPr>
          <w:rFonts w:ascii="Times New Roman" w:eastAsia="仿宋" w:hAnsi="Times New Roman"/>
          <w:sz w:val="32"/>
          <w:szCs w:val="32"/>
        </w:rPr>
        <w:t>本次重大资产重组的证券服务机构</w:t>
      </w:r>
      <w:r>
        <w:rPr>
          <w:rFonts w:ascii="Times New Roman" w:eastAsia="仿宋" w:hAnsi="Times New Roman"/>
          <w:sz w:val="32"/>
          <w:szCs w:val="32"/>
        </w:rPr>
        <w:t>XX</w:t>
      </w:r>
      <w:r>
        <w:rPr>
          <w:rFonts w:ascii="Times New Roman" w:eastAsia="仿宋" w:hAnsi="Times New Roman"/>
          <w:sz w:val="32"/>
          <w:szCs w:val="32"/>
        </w:rPr>
        <w:t>及人员</w:t>
      </w:r>
      <w:r>
        <w:rPr>
          <w:rFonts w:ascii="Times New Roman" w:eastAsia="仿宋" w:hAnsi="Times New Roman"/>
          <w:sz w:val="32"/>
          <w:szCs w:val="32"/>
        </w:rPr>
        <w:t>XX</w:t>
      </w:r>
      <w:r>
        <w:rPr>
          <w:rFonts w:ascii="Times New Roman" w:eastAsia="仿宋" w:hAnsi="Times New Roman"/>
          <w:sz w:val="32"/>
          <w:szCs w:val="32"/>
        </w:rPr>
        <w:t>保证披露文件的真实、准确、完整，如本次重组申请文件存在虚假记载、误导性陈述或重大遗漏，且该证券服务机构未能勤勉尽责的，将承担相应的法律责任</w:t>
      </w:r>
      <w:r>
        <w:rPr>
          <w:rFonts w:ascii="仿宋" w:eastAsia="仿宋" w:hAnsi="仿宋" w:cs="仿宋" w:hint="eastAsia"/>
          <w:sz w:val="32"/>
          <w:szCs w:val="32"/>
        </w:rPr>
        <w:t>”</w:t>
      </w:r>
      <w:r>
        <w:rPr>
          <w:rFonts w:ascii="Times New Roman" w:eastAsia="仿宋" w:hAnsi="Times New Roman"/>
          <w:sz w:val="32"/>
          <w:szCs w:val="32"/>
        </w:rPr>
        <w:t>。</w:t>
      </w:r>
    </w:p>
    <w:p w14:paraId="2DF5C2DC" w14:textId="77777777" w:rsidR="004C566C" w:rsidRDefault="004C566C" w:rsidP="004C566C">
      <w:pPr>
        <w:pStyle w:val="2"/>
        <w:spacing w:before="240" w:after="240" w:line="600" w:lineRule="exact"/>
        <w:rPr>
          <w:rFonts w:ascii="Times New Roman" w:hAnsi="Times New Roman"/>
          <w:bCs/>
          <w:sz w:val="32"/>
          <w:szCs w:val="32"/>
        </w:rPr>
      </w:pPr>
      <w:r>
        <w:rPr>
          <w:rFonts w:ascii="Times New Roman" w:hAnsi="Times New Roman"/>
          <w:sz w:val="32"/>
          <w:szCs w:val="32"/>
        </w:rPr>
        <w:t>第四节</w:t>
      </w:r>
      <w:r>
        <w:rPr>
          <w:rFonts w:ascii="Times New Roman" w:hAnsi="Times New Roman"/>
          <w:sz w:val="32"/>
          <w:szCs w:val="32"/>
        </w:rPr>
        <w:t xml:space="preserve">  </w:t>
      </w:r>
      <w:r>
        <w:rPr>
          <w:rFonts w:ascii="Times New Roman" w:hAnsi="Times New Roman"/>
          <w:sz w:val="32"/>
          <w:szCs w:val="32"/>
        </w:rPr>
        <w:t>重大事项提示</w:t>
      </w:r>
    </w:p>
    <w:p w14:paraId="4841440B"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十、上市公司应当在重大事项提示部分，就与本次重组有关的重大事项进行提示，包括但不限于以下内容：</w:t>
      </w:r>
    </w:p>
    <w:p w14:paraId="0ADC36D6"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（一）本次重组方案简要介绍；</w:t>
      </w:r>
    </w:p>
    <w:p w14:paraId="3D30653E"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二）按《重组办法》规定计算的相关指标、本次重组是否构成关联交易（如构成关联交易，应披露构成关联交易的原因，涉及董事和股东的回避表决安排）、是否构成《重组办法》第十三条规定的交易情形（以下简称重组上市）及判断依据；</w:t>
      </w:r>
    </w:p>
    <w:p w14:paraId="04A8C987"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（三）本次重组支付方式、募集配套资金安排简要介绍（如适用）；</w:t>
      </w:r>
    </w:p>
    <w:p w14:paraId="5A47F6E4"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（四）交易标的预估作价情况简要介绍（如适用）。</w:t>
      </w:r>
    </w:p>
    <w:p w14:paraId="15D7612C" w14:textId="77777777" w:rsidR="004C566C" w:rsidRDefault="004C566C" w:rsidP="004C566C">
      <w:pPr>
        <w:pStyle w:val="2"/>
        <w:spacing w:before="240" w:after="240" w:line="600" w:lineRule="exact"/>
        <w:rPr>
          <w:rFonts w:ascii="Times New Roman" w:hAnsi="Times New Roman"/>
          <w:bCs/>
          <w:sz w:val="32"/>
          <w:szCs w:val="32"/>
        </w:rPr>
      </w:pPr>
      <w:r>
        <w:rPr>
          <w:rFonts w:ascii="Times New Roman" w:hAnsi="Times New Roman"/>
          <w:sz w:val="32"/>
          <w:szCs w:val="32"/>
        </w:rPr>
        <w:t>第五节</w:t>
      </w:r>
      <w:r>
        <w:rPr>
          <w:rFonts w:ascii="Times New Roman" w:hAnsi="Times New Roman"/>
          <w:sz w:val="32"/>
          <w:szCs w:val="32"/>
        </w:rPr>
        <w:t xml:space="preserve">  </w:t>
      </w:r>
      <w:r>
        <w:rPr>
          <w:rFonts w:ascii="Times New Roman" w:hAnsi="Times New Roman"/>
          <w:sz w:val="32"/>
          <w:szCs w:val="32"/>
        </w:rPr>
        <w:t>重大风险提示</w:t>
      </w:r>
    </w:p>
    <w:p w14:paraId="02B78E62"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十</w:t>
      </w:r>
      <w:r>
        <w:rPr>
          <w:rFonts w:ascii="Times New Roman" w:eastAsia="仿宋" w:hAnsi="Times New Roman" w:hint="eastAsia"/>
          <w:sz w:val="32"/>
          <w:szCs w:val="32"/>
        </w:rPr>
        <w:t>一</w:t>
      </w:r>
      <w:r>
        <w:rPr>
          <w:rFonts w:ascii="Times New Roman" w:eastAsia="仿宋" w:hAnsi="Times New Roman"/>
          <w:sz w:val="32"/>
          <w:szCs w:val="32"/>
        </w:rPr>
        <w:t>、就本次交易对重组后上市公司经营和财务产生严重不利影响的重大风险因素，及本次交易行为存在的重大不确定性风险等，进行</w:t>
      </w:r>
      <w:r>
        <w:rPr>
          <w:rFonts w:ascii="仿宋" w:eastAsia="仿宋" w:hAnsi="仿宋" w:cs="仿宋" w:hint="eastAsia"/>
          <w:sz w:val="32"/>
          <w:szCs w:val="32"/>
        </w:rPr>
        <w:t>“</w:t>
      </w:r>
      <w:r>
        <w:rPr>
          <w:rFonts w:ascii="Times New Roman" w:eastAsia="仿宋" w:hAnsi="Times New Roman"/>
          <w:sz w:val="32"/>
          <w:szCs w:val="32"/>
        </w:rPr>
        <w:t>重大风险提示</w:t>
      </w:r>
      <w:r>
        <w:rPr>
          <w:rFonts w:ascii="仿宋" w:eastAsia="仿宋" w:hAnsi="仿宋" w:cs="仿宋" w:hint="eastAsia"/>
          <w:sz w:val="32"/>
          <w:szCs w:val="32"/>
        </w:rPr>
        <w:t>”</w:t>
      </w:r>
      <w:r>
        <w:rPr>
          <w:rFonts w:ascii="Times New Roman" w:eastAsia="仿宋" w:hAnsi="Times New Roman"/>
          <w:sz w:val="32"/>
          <w:szCs w:val="32"/>
        </w:rPr>
        <w:t>，包括但不限于以下内容：</w:t>
      </w:r>
    </w:p>
    <w:p w14:paraId="56DDFE52"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（一）本次重组审批风险。本次交易行为涉及有关报批事项的，应当详细说明已向有关主管部门报批的进展情况和尚需呈报批准的程序，以及可能无法获得批准的风险（如适用）；</w:t>
      </w:r>
    </w:p>
    <w:p w14:paraId="1D727CE4"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（二）交易标的权属风险。如抵押、质押等权利限制，诉讼、仲裁或司法强制执行等重大争议或者妨碍权属转移的其他情形可能导致交易标的存在潜在不利影响和风险等（如</w:t>
      </w:r>
      <w:r>
        <w:rPr>
          <w:rFonts w:ascii="Times New Roman" w:eastAsia="仿宋" w:hAnsi="Times New Roman"/>
          <w:sz w:val="32"/>
          <w:szCs w:val="32"/>
        </w:rPr>
        <w:lastRenderedPageBreak/>
        <w:t>适用）；</w:t>
      </w:r>
    </w:p>
    <w:p w14:paraId="4C2DECED"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（三）交易标的评估或估值风险。本次评估或估值存在报告期变动频繁且对评估或估值影响较大的指标，该指标的预测对本次评估或估值的影响，进而对交易价格公允性的影响等（如适用）；</w:t>
      </w:r>
    </w:p>
    <w:p w14:paraId="18E71F7C"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（四）交易标的对上市公司持续经营影响的风险。由于政策、市场、技术、汇率等因素引致的风险（如适用）；</w:t>
      </w:r>
    </w:p>
    <w:p w14:paraId="75AF9449"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（五）公司治理与整合风险</w:t>
      </w:r>
      <w:r>
        <w:rPr>
          <w:rFonts w:ascii="Times New Roman" w:eastAsia="仿宋" w:hAnsi="Times New Roman" w:hint="eastAsia"/>
          <w:sz w:val="32"/>
          <w:szCs w:val="32"/>
        </w:rPr>
        <w:t>。</w:t>
      </w:r>
      <w:r>
        <w:rPr>
          <w:rFonts w:ascii="Times New Roman" w:eastAsia="仿宋" w:hAnsi="Times New Roman"/>
          <w:sz w:val="32"/>
          <w:szCs w:val="32"/>
        </w:rPr>
        <w:t>上市公司管理水平不能适应重组后上市公司规模扩张或业务变化的风险</w:t>
      </w:r>
      <w:r>
        <w:rPr>
          <w:rFonts w:ascii="Times New Roman" w:eastAsia="仿宋" w:hAnsi="Times New Roman" w:hint="eastAsia"/>
          <w:sz w:val="32"/>
          <w:szCs w:val="32"/>
        </w:rPr>
        <w:t>，以及</w:t>
      </w:r>
      <w:r>
        <w:rPr>
          <w:rFonts w:ascii="Times New Roman" w:eastAsia="仿宋" w:hAnsi="Times New Roman"/>
          <w:sz w:val="32"/>
          <w:szCs w:val="32"/>
        </w:rPr>
        <w:t>交易标的与上市公司原有业务、资产、财务、人员、机构等方面的整合风险。本次拟购买的主要交易标的不属于同行业或紧密相关的上下游行业的，应充分披露本次交易的必要性以及后续整合存在的不确定性及风险（如适用）；</w:t>
      </w:r>
    </w:p>
    <w:p w14:paraId="6BD8B638"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（六）财务风险</w:t>
      </w:r>
      <w:r>
        <w:rPr>
          <w:rFonts w:ascii="Times New Roman" w:eastAsia="仿宋" w:hAnsi="Times New Roman" w:hint="eastAsia"/>
          <w:sz w:val="32"/>
          <w:szCs w:val="32"/>
        </w:rPr>
        <w:t>。</w:t>
      </w:r>
      <w:r>
        <w:rPr>
          <w:rFonts w:ascii="Times New Roman" w:eastAsia="仿宋" w:hAnsi="Times New Roman"/>
          <w:sz w:val="32"/>
          <w:szCs w:val="32"/>
        </w:rPr>
        <w:t>本次重组导致上市公司财务结构发生重大变化的风险（如适用）；</w:t>
      </w:r>
    </w:p>
    <w:p w14:paraId="73D36C5D" w14:textId="77777777" w:rsidR="004C566C" w:rsidRDefault="004C566C" w:rsidP="004C566C">
      <w:pPr>
        <w:suppressAutoHyphens/>
        <w:spacing w:line="600" w:lineRule="exact"/>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w:t>
      </w:r>
      <w:r>
        <w:rPr>
          <w:rFonts w:ascii="Times New Roman" w:eastAsia="仿宋" w:hAnsi="Times New Roman"/>
          <w:sz w:val="32"/>
          <w:szCs w:val="32"/>
        </w:rPr>
        <w:t>七</w:t>
      </w:r>
      <w:r>
        <w:rPr>
          <w:rFonts w:ascii="仿宋_GB2312" w:eastAsia="仿宋_GB2312" w:hAnsi="宋体" w:cs="宋体" w:hint="eastAsia"/>
          <w:sz w:val="30"/>
          <w:szCs w:val="30"/>
        </w:rPr>
        <w:t>）</w:t>
      </w:r>
      <w:r>
        <w:rPr>
          <w:rFonts w:ascii="Times New Roman" w:eastAsia="仿宋" w:hAnsi="Times New Roman"/>
          <w:sz w:val="32"/>
          <w:szCs w:val="32"/>
        </w:rPr>
        <w:t>存在未弥补亏损风险。本次重组后，上市公司存在未弥补亏损的，应当充分披露相关情况并提示对公司分红等事项的影响（如适用）；</w:t>
      </w:r>
    </w:p>
    <w:p w14:paraId="10F12CE4" w14:textId="77777777" w:rsidR="004C566C" w:rsidRDefault="004C566C" w:rsidP="004C566C">
      <w:pPr>
        <w:suppressAutoHyphens/>
        <w:spacing w:line="600" w:lineRule="exact"/>
        <w:ind w:firstLineChars="200" w:firstLine="600"/>
        <w:rPr>
          <w:rFonts w:ascii="Times New Roman" w:eastAsia="仿宋" w:hAnsi="Times New Roman"/>
          <w:sz w:val="32"/>
          <w:szCs w:val="32"/>
        </w:rPr>
      </w:pPr>
      <w:r>
        <w:rPr>
          <w:rFonts w:ascii="仿宋_GB2312" w:eastAsia="仿宋_GB2312" w:hAnsi="宋体" w:cs="宋体" w:hint="eastAsia"/>
          <w:sz w:val="30"/>
          <w:szCs w:val="30"/>
        </w:rPr>
        <w:t>（</w:t>
      </w:r>
      <w:r>
        <w:rPr>
          <w:rFonts w:ascii="Times New Roman" w:eastAsia="仿宋" w:hAnsi="Times New Roman"/>
          <w:sz w:val="32"/>
          <w:szCs w:val="32"/>
        </w:rPr>
        <w:t>八</w:t>
      </w:r>
      <w:r>
        <w:rPr>
          <w:rFonts w:ascii="仿宋_GB2312" w:eastAsia="仿宋_GB2312" w:hAnsi="宋体" w:cs="宋体" w:hint="eastAsia"/>
          <w:sz w:val="30"/>
          <w:szCs w:val="30"/>
        </w:rPr>
        <w:t>）</w:t>
      </w:r>
      <w:r>
        <w:rPr>
          <w:rFonts w:ascii="Times New Roman" w:eastAsia="仿宋" w:hAnsi="Times New Roman"/>
          <w:sz w:val="32"/>
          <w:szCs w:val="32"/>
        </w:rPr>
        <w:t>分期支付后期不能发行的风险。上市公司分期发行股份支付购买资产对价的，首期发行后，后续各期股份不能发行的风险（如适用）；</w:t>
      </w:r>
    </w:p>
    <w:p w14:paraId="0F53D91C"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w:t>
      </w:r>
      <w:r>
        <w:rPr>
          <w:rFonts w:ascii="Times New Roman" w:eastAsia="仿宋" w:hAnsi="Times New Roman" w:hint="eastAsia"/>
          <w:sz w:val="32"/>
          <w:szCs w:val="32"/>
        </w:rPr>
        <w:t>九</w:t>
      </w:r>
      <w:r>
        <w:rPr>
          <w:rFonts w:ascii="Times New Roman" w:eastAsia="仿宋" w:hAnsi="Times New Roman"/>
          <w:sz w:val="32"/>
          <w:szCs w:val="32"/>
        </w:rPr>
        <w:t>）其他与本次重组相关的风险（如适用）。</w:t>
      </w:r>
    </w:p>
    <w:p w14:paraId="1EBCB614" w14:textId="77777777" w:rsidR="004C566C" w:rsidRDefault="004C566C" w:rsidP="004C566C">
      <w:pPr>
        <w:pStyle w:val="2"/>
        <w:spacing w:before="240" w:after="240" w:line="600" w:lineRule="exact"/>
        <w:rPr>
          <w:rFonts w:ascii="Times New Roman" w:hAnsi="Times New Roman"/>
          <w:bCs/>
          <w:sz w:val="32"/>
          <w:szCs w:val="32"/>
        </w:rPr>
      </w:pPr>
      <w:r>
        <w:rPr>
          <w:rFonts w:ascii="Times New Roman" w:hAnsi="Times New Roman"/>
          <w:sz w:val="32"/>
          <w:szCs w:val="32"/>
        </w:rPr>
        <w:t>第六节</w:t>
      </w:r>
      <w:r>
        <w:rPr>
          <w:rFonts w:ascii="Times New Roman" w:hAnsi="Times New Roman"/>
          <w:sz w:val="32"/>
          <w:szCs w:val="32"/>
        </w:rPr>
        <w:t xml:space="preserve">  </w:t>
      </w:r>
      <w:r>
        <w:rPr>
          <w:rFonts w:ascii="Times New Roman" w:hAnsi="Times New Roman"/>
          <w:sz w:val="32"/>
          <w:szCs w:val="32"/>
        </w:rPr>
        <w:t>本次交易概况</w:t>
      </w:r>
    </w:p>
    <w:p w14:paraId="48A1EBDD"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十</w:t>
      </w:r>
      <w:r>
        <w:rPr>
          <w:rFonts w:ascii="Times New Roman" w:eastAsia="仿宋" w:hAnsi="Times New Roman" w:hint="eastAsia"/>
          <w:sz w:val="32"/>
          <w:szCs w:val="32"/>
        </w:rPr>
        <w:t>二</w:t>
      </w:r>
      <w:r>
        <w:rPr>
          <w:rFonts w:ascii="Times New Roman" w:eastAsia="仿宋" w:hAnsi="Times New Roman"/>
          <w:sz w:val="32"/>
          <w:szCs w:val="32"/>
        </w:rPr>
        <w:t>、本次交易的背景及目的概况。</w:t>
      </w:r>
    </w:p>
    <w:p w14:paraId="06E26BE2"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十</w:t>
      </w:r>
      <w:r>
        <w:rPr>
          <w:rFonts w:ascii="Times New Roman" w:eastAsia="仿宋" w:hAnsi="Times New Roman" w:hint="eastAsia"/>
          <w:sz w:val="32"/>
          <w:szCs w:val="32"/>
        </w:rPr>
        <w:t>三</w:t>
      </w:r>
      <w:r>
        <w:rPr>
          <w:rFonts w:ascii="Times New Roman" w:eastAsia="仿宋" w:hAnsi="Times New Roman"/>
          <w:sz w:val="32"/>
          <w:szCs w:val="32"/>
        </w:rPr>
        <w:t>、本次交易的方案概况，方案介绍中应当披露本次交易是否构成</w:t>
      </w:r>
      <w:r>
        <w:rPr>
          <w:rFonts w:ascii="Times New Roman" w:eastAsia="仿宋" w:hAnsi="Times New Roman" w:hint="eastAsia"/>
          <w:sz w:val="32"/>
          <w:szCs w:val="32"/>
        </w:rPr>
        <w:t>重组上市</w:t>
      </w:r>
      <w:r>
        <w:rPr>
          <w:rFonts w:ascii="Times New Roman" w:eastAsia="仿宋" w:hAnsi="Times New Roman"/>
          <w:sz w:val="32"/>
          <w:szCs w:val="32"/>
        </w:rPr>
        <w:t>及其判断依据。</w:t>
      </w:r>
    </w:p>
    <w:p w14:paraId="37517479" w14:textId="77777777" w:rsidR="004C566C" w:rsidRDefault="004C566C" w:rsidP="004C566C">
      <w:pPr>
        <w:pStyle w:val="2"/>
        <w:spacing w:before="240" w:after="240" w:line="600" w:lineRule="exact"/>
        <w:rPr>
          <w:rFonts w:ascii="Times New Roman" w:hAnsi="Times New Roman"/>
          <w:bCs/>
          <w:sz w:val="32"/>
          <w:szCs w:val="32"/>
        </w:rPr>
      </w:pPr>
      <w:r>
        <w:rPr>
          <w:rFonts w:ascii="Times New Roman" w:hAnsi="Times New Roman"/>
          <w:sz w:val="32"/>
          <w:szCs w:val="32"/>
        </w:rPr>
        <w:t>第七节</w:t>
      </w:r>
      <w:r>
        <w:rPr>
          <w:rFonts w:ascii="Times New Roman" w:hAnsi="Times New Roman"/>
          <w:sz w:val="32"/>
          <w:szCs w:val="32"/>
        </w:rPr>
        <w:t xml:space="preserve">  </w:t>
      </w:r>
      <w:r>
        <w:rPr>
          <w:rFonts w:ascii="Times New Roman" w:hAnsi="Times New Roman"/>
          <w:sz w:val="32"/>
          <w:szCs w:val="32"/>
        </w:rPr>
        <w:t>上市公司基本情况</w:t>
      </w:r>
    </w:p>
    <w:p w14:paraId="4AEE28B6"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十</w:t>
      </w:r>
      <w:r>
        <w:rPr>
          <w:rFonts w:ascii="Times New Roman" w:eastAsia="仿宋" w:hAnsi="Times New Roman" w:hint="eastAsia"/>
          <w:sz w:val="32"/>
          <w:szCs w:val="32"/>
        </w:rPr>
        <w:t>四</w:t>
      </w:r>
      <w:r>
        <w:rPr>
          <w:rFonts w:ascii="Times New Roman" w:eastAsia="仿宋" w:hAnsi="Times New Roman"/>
          <w:sz w:val="32"/>
          <w:szCs w:val="32"/>
        </w:rPr>
        <w:t>、上市公司最近</w:t>
      </w:r>
      <w:r>
        <w:rPr>
          <w:rFonts w:ascii="Times New Roman" w:eastAsia="仿宋" w:hAnsi="Times New Roman"/>
          <w:sz w:val="32"/>
          <w:szCs w:val="32"/>
        </w:rPr>
        <w:t>36</w:t>
      </w:r>
      <w:r>
        <w:rPr>
          <w:rFonts w:ascii="Times New Roman" w:eastAsia="仿宋" w:hAnsi="Times New Roman"/>
          <w:sz w:val="32"/>
          <w:szCs w:val="32"/>
        </w:rPr>
        <w:t>个月的控制权变动情况，最近</w:t>
      </w:r>
      <w:r>
        <w:rPr>
          <w:rFonts w:ascii="Times New Roman" w:eastAsia="仿宋" w:hAnsi="Times New Roman"/>
          <w:sz w:val="32"/>
          <w:szCs w:val="32"/>
        </w:rPr>
        <w:t>3</w:t>
      </w:r>
      <w:r>
        <w:rPr>
          <w:rFonts w:ascii="Times New Roman" w:eastAsia="仿宋" w:hAnsi="Times New Roman"/>
          <w:sz w:val="32"/>
          <w:szCs w:val="32"/>
        </w:rPr>
        <w:t>年的主营业务发展情况，以及因本次交易导致的股权控制结构的预计变化情况。</w:t>
      </w:r>
    </w:p>
    <w:p w14:paraId="2D9CB765" w14:textId="77777777" w:rsidR="004C566C" w:rsidRDefault="004C566C" w:rsidP="004C566C">
      <w:pPr>
        <w:pStyle w:val="2"/>
        <w:spacing w:before="240" w:after="240" w:line="600" w:lineRule="exact"/>
        <w:rPr>
          <w:rFonts w:ascii="Times New Roman" w:hAnsi="Times New Roman"/>
          <w:bCs/>
          <w:sz w:val="32"/>
          <w:szCs w:val="32"/>
        </w:rPr>
      </w:pPr>
      <w:r>
        <w:rPr>
          <w:rFonts w:ascii="Times New Roman" w:hAnsi="Times New Roman"/>
          <w:sz w:val="32"/>
          <w:szCs w:val="32"/>
        </w:rPr>
        <w:t>第八节</w:t>
      </w:r>
      <w:r>
        <w:rPr>
          <w:rFonts w:ascii="Times New Roman" w:hAnsi="Times New Roman"/>
          <w:sz w:val="32"/>
          <w:szCs w:val="32"/>
        </w:rPr>
        <w:t xml:space="preserve">  </w:t>
      </w:r>
      <w:r>
        <w:rPr>
          <w:rFonts w:ascii="Times New Roman" w:hAnsi="Times New Roman"/>
          <w:sz w:val="32"/>
          <w:szCs w:val="32"/>
        </w:rPr>
        <w:t>主要交易对方</w:t>
      </w:r>
    </w:p>
    <w:p w14:paraId="70345908"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十</w:t>
      </w:r>
      <w:r>
        <w:rPr>
          <w:rFonts w:ascii="Times New Roman" w:eastAsia="仿宋" w:hAnsi="Times New Roman" w:hint="eastAsia"/>
          <w:sz w:val="32"/>
          <w:szCs w:val="32"/>
        </w:rPr>
        <w:t>五</w:t>
      </w:r>
      <w:r>
        <w:rPr>
          <w:rFonts w:ascii="Times New Roman" w:eastAsia="仿宋" w:hAnsi="Times New Roman"/>
          <w:sz w:val="32"/>
          <w:szCs w:val="32"/>
        </w:rPr>
        <w:t>、主要交易对方基本情况。</w:t>
      </w:r>
    </w:p>
    <w:p w14:paraId="234882B7"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主要交易对方为法人的，应当披露其名称、注册地、法定代表人，与其控股股东、实际控制人之间的产权控制关系结构图；</w:t>
      </w:r>
    </w:p>
    <w:p w14:paraId="2FCB753B"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主要交易对方为自然人的，应当披露其姓名（包括曾用名）、性别、国籍、是否取得其他国家或者地区的居留权等；</w:t>
      </w:r>
    </w:p>
    <w:p w14:paraId="2B5D2E9A"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主要交易对方为其他主体的，应当披露其名称、性质，如为合伙企业，还应披露合伙企业及其相关的产权及控制关系、主要合伙人等情况。</w:t>
      </w:r>
    </w:p>
    <w:p w14:paraId="30D19F71"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上市公司以公开招标、公开拍卖等方式购买或出售资产的，如确实无法在重组预案中披露交易对方基本情况，应说明无法披露的原因及影响。</w:t>
      </w:r>
    </w:p>
    <w:p w14:paraId="74DE6F30"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上市公司以公开招标、公开拍卖等方式购买或出售资产的，可以在履行相关授权程序（如涉及）后先行披露重组预案，也可以由上市公司及有关各方充分履行保密义务，在明确交易对方、交易价格等要素后直接披露重组报告书，并履行董事会、股东会审议程序。</w:t>
      </w:r>
    </w:p>
    <w:p w14:paraId="145C8D09" w14:textId="77777777" w:rsidR="004C566C" w:rsidRDefault="004C566C" w:rsidP="004C566C">
      <w:pPr>
        <w:pStyle w:val="2"/>
        <w:spacing w:before="240" w:after="240" w:line="600" w:lineRule="exact"/>
        <w:rPr>
          <w:rFonts w:ascii="Times New Roman" w:hAnsi="Times New Roman"/>
          <w:bCs/>
          <w:sz w:val="32"/>
          <w:szCs w:val="32"/>
        </w:rPr>
      </w:pPr>
      <w:r>
        <w:rPr>
          <w:rFonts w:ascii="Times New Roman" w:hAnsi="Times New Roman"/>
          <w:sz w:val="32"/>
          <w:szCs w:val="32"/>
        </w:rPr>
        <w:t>第九节</w:t>
      </w:r>
      <w:r>
        <w:rPr>
          <w:rFonts w:ascii="Times New Roman" w:hAnsi="Times New Roman"/>
          <w:sz w:val="32"/>
          <w:szCs w:val="32"/>
        </w:rPr>
        <w:t xml:space="preserve">  </w:t>
      </w:r>
      <w:r>
        <w:rPr>
          <w:rFonts w:ascii="Times New Roman" w:hAnsi="Times New Roman"/>
          <w:sz w:val="32"/>
          <w:szCs w:val="32"/>
        </w:rPr>
        <w:t>交易标的</w:t>
      </w:r>
    </w:p>
    <w:p w14:paraId="3D9B4AD7"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十</w:t>
      </w:r>
      <w:r>
        <w:rPr>
          <w:rFonts w:ascii="Times New Roman" w:eastAsia="仿宋" w:hAnsi="Times New Roman" w:hint="eastAsia"/>
          <w:sz w:val="32"/>
          <w:szCs w:val="32"/>
        </w:rPr>
        <w:t>六</w:t>
      </w:r>
      <w:r>
        <w:rPr>
          <w:rFonts w:ascii="Times New Roman" w:eastAsia="仿宋" w:hAnsi="Times New Roman"/>
          <w:sz w:val="32"/>
          <w:szCs w:val="32"/>
        </w:rPr>
        <w:t>、交易标的基本情况，包括：</w:t>
      </w:r>
    </w:p>
    <w:p w14:paraId="0992F945"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（一）交易标的名称、企业性质、注册地、主要办公地点、法定代表人、注册资本、成立日期；</w:t>
      </w:r>
    </w:p>
    <w:p w14:paraId="66717367"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（二）交易标的产权或控制关系；</w:t>
      </w:r>
    </w:p>
    <w:p w14:paraId="29651E1F"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（三）交易标的报告期（指最近</w:t>
      </w:r>
      <w:r>
        <w:rPr>
          <w:rFonts w:ascii="Times New Roman" w:eastAsia="仿宋" w:hAnsi="Times New Roman"/>
          <w:sz w:val="32"/>
          <w:szCs w:val="32"/>
        </w:rPr>
        <w:t>2</w:t>
      </w:r>
      <w:r>
        <w:rPr>
          <w:rFonts w:ascii="Times New Roman" w:eastAsia="仿宋" w:hAnsi="Times New Roman"/>
          <w:sz w:val="32"/>
          <w:szCs w:val="32"/>
        </w:rPr>
        <w:t>年及一期，如初步估算属于重组上市的情形，报告期指最近</w:t>
      </w:r>
      <w:r>
        <w:rPr>
          <w:rFonts w:ascii="Times New Roman" w:eastAsia="仿宋" w:hAnsi="Times New Roman"/>
          <w:sz w:val="32"/>
          <w:szCs w:val="32"/>
        </w:rPr>
        <w:t>3</w:t>
      </w:r>
      <w:r>
        <w:rPr>
          <w:rFonts w:ascii="Times New Roman" w:eastAsia="仿宋" w:hAnsi="Times New Roman"/>
          <w:sz w:val="32"/>
          <w:szCs w:val="32"/>
        </w:rPr>
        <w:t>年及一期，下同）主营业务，包括主要产品或服务、盈利模式、核心竞争力等概要情况等；</w:t>
      </w:r>
    </w:p>
    <w:p w14:paraId="27414DBA"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（四）交易标的报告期主要财务指标（包括总资产、净资产、营业收入、净利润、经营活动产生的现金流量净额等），并说明是否为经审计数；</w:t>
      </w:r>
    </w:p>
    <w:p w14:paraId="0F4F9078"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交易标的属于境外资产或者通过公开招标、公开拍卖等方式购买的，如确实无法披露财务数据，应说明无法披露的原因和影响，并提出解决方案；</w:t>
      </w:r>
    </w:p>
    <w:p w14:paraId="7A661266"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五）交易标的预估值及拟定价等（如适用）。上市公司应当披露交易标的价值预估的基本情况，包括所采用的估值方法、增减值幅度等，简要分析预估合理性（如适用）。如无法披露预估值及拟定价的，应当说明无法披露的原因及影响；</w:t>
      </w:r>
    </w:p>
    <w:p w14:paraId="38DCC5D8"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相关证券服务机构未完成审计、评估或估值、盈利预测审核的（如涉及），上市公司应当</w:t>
      </w:r>
      <w:proofErr w:type="gramStart"/>
      <w:r>
        <w:rPr>
          <w:rFonts w:ascii="Times New Roman" w:eastAsia="仿宋" w:hAnsi="Times New Roman"/>
          <w:sz w:val="32"/>
          <w:szCs w:val="32"/>
        </w:rPr>
        <w:t>作出</w:t>
      </w:r>
      <w:proofErr w:type="gramEnd"/>
      <w:r>
        <w:rPr>
          <w:rFonts w:ascii="仿宋" w:eastAsia="仿宋" w:hAnsi="仿宋" w:cs="仿宋" w:hint="eastAsia"/>
          <w:sz w:val="32"/>
          <w:szCs w:val="32"/>
        </w:rPr>
        <w:t>“</w:t>
      </w:r>
      <w:r>
        <w:rPr>
          <w:rFonts w:ascii="Times New Roman" w:eastAsia="仿宋" w:hAnsi="Times New Roman"/>
          <w:sz w:val="32"/>
          <w:szCs w:val="32"/>
        </w:rPr>
        <w:t>相关资产经审计的财务数据、评估或估值结果、经审核的盈利预测数据（如涉及）将在重大资产重组报告书中予以披露</w:t>
      </w:r>
      <w:r>
        <w:rPr>
          <w:rFonts w:ascii="仿宋" w:eastAsia="仿宋" w:hAnsi="仿宋" w:cs="仿宋" w:hint="eastAsia"/>
          <w:sz w:val="32"/>
          <w:szCs w:val="32"/>
        </w:rPr>
        <w:t>”</w:t>
      </w:r>
      <w:r>
        <w:rPr>
          <w:rFonts w:ascii="Times New Roman" w:eastAsia="仿宋" w:hAnsi="Times New Roman"/>
          <w:sz w:val="32"/>
          <w:szCs w:val="32"/>
        </w:rPr>
        <w:t>的特别提示以及</w:t>
      </w:r>
      <w:r>
        <w:rPr>
          <w:rFonts w:ascii="仿宋" w:eastAsia="仿宋" w:hAnsi="仿宋" w:cs="仿宋" w:hint="eastAsia"/>
          <w:sz w:val="32"/>
          <w:szCs w:val="32"/>
        </w:rPr>
        <w:t>“</w:t>
      </w:r>
      <w:r>
        <w:rPr>
          <w:rFonts w:ascii="Times New Roman" w:eastAsia="仿宋" w:hAnsi="Times New Roman"/>
          <w:sz w:val="32"/>
          <w:szCs w:val="32"/>
        </w:rPr>
        <w:t>相关资产经审计的财务数据、评估或估值最终结果可能与预案披露情况存在较大差异</w:t>
      </w:r>
      <w:r>
        <w:rPr>
          <w:rFonts w:ascii="仿宋" w:eastAsia="仿宋" w:hAnsi="仿宋" w:cs="仿宋" w:hint="eastAsia"/>
          <w:sz w:val="32"/>
          <w:szCs w:val="32"/>
        </w:rPr>
        <w:t>”</w:t>
      </w:r>
      <w:r>
        <w:rPr>
          <w:rFonts w:ascii="Times New Roman" w:eastAsia="仿宋" w:hAnsi="Times New Roman"/>
          <w:sz w:val="32"/>
          <w:szCs w:val="32"/>
        </w:rPr>
        <w:t>的风险揭示。</w:t>
      </w:r>
    </w:p>
    <w:p w14:paraId="089ED3CD" w14:textId="77777777" w:rsidR="004C566C" w:rsidRDefault="004C566C" w:rsidP="004C566C">
      <w:pPr>
        <w:pStyle w:val="2"/>
        <w:spacing w:before="240" w:after="240" w:line="600" w:lineRule="exact"/>
        <w:rPr>
          <w:rFonts w:ascii="Times New Roman" w:hAnsi="Times New Roman"/>
          <w:bCs/>
          <w:sz w:val="32"/>
          <w:szCs w:val="32"/>
        </w:rPr>
      </w:pPr>
      <w:r>
        <w:rPr>
          <w:rFonts w:ascii="Times New Roman" w:hAnsi="Times New Roman"/>
          <w:sz w:val="32"/>
          <w:szCs w:val="32"/>
        </w:rPr>
        <w:t>第十节</w:t>
      </w:r>
      <w:r>
        <w:rPr>
          <w:rFonts w:ascii="Times New Roman" w:hAnsi="Times New Roman"/>
          <w:sz w:val="32"/>
          <w:szCs w:val="32"/>
        </w:rPr>
        <w:t xml:space="preserve">  </w:t>
      </w:r>
      <w:r>
        <w:rPr>
          <w:rFonts w:ascii="Times New Roman" w:hAnsi="Times New Roman"/>
          <w:sz w:val="32"/>
          <w:szCs w:val="32"/>
        </w:rPr>
        <w:t>交易方式</w:t>
      </w:r>
    </w:p>
    <w:p w14:paraId="50301B44"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十</w:t>
      </w:r>
      <w:r>
        <w:rPr>
          <w:rFonts w:ascii="Times New Roman" w:eastAsia="仿宋" w:hAnsi="Times New Roman" w:hint="eastAsia"/>
          <w:sz w:val="32"/>
          <w:szCs w:val="32"/>
        </w:rPr>
        <w:t>七</w:t>
      </w:r>
      <w:r>
        <w:rPr>
          <w:rFonts w:ascii="Times New Roman" w:eastAsia="仿宋" w:hAnsi="Times New Roman"/>
          <w:sz w:val="32"/>
          <w:szCs w:val="32"/>
        </w:rPr>
        <w:t>、支付方式情况。上市公司发行股份购买资产的，应当披露发行股份的定价及依据、本次发行股份购买资产的董事会决议明确的发行价格调整方案等相关信息。</w:t>
      </w:r>
    </w:p>
    <w:p w14:paraId="6092D798"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上市公司通过发行优先股、向特定对象发行可转换为股票的公司债券等非现金支付方式购买资产的，应当比照前述要求披露相关信息。</w:t>
      </w:r>
    </w:p>
    <w:p w14:paraId="7C65BE87"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上市公司支付现金购买资产的，应当披露资金来源。</w:t>
      </w:r>
    </w:p>
    <w:p w14:paraId="664B38DA"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十</w:t>
      </w:r>
      <w:r>
        <w:rPr>
          <w:rFonts w:ascii="Times New Roman" w:eastAsia="仿宋" w:hAnsi="Times New Roman" w:hint="eastAsia"/>
          <w:sz w:val="32"/>
          <w:szCs w:val="32"/>
        </w:rPr>
        <w:t>八</w:t>
      </w:r>
      <w:r>
        <w:rPr>
          <w:rFonts w:ascii="Times New Roman" w:eastAsia="仿宋" w:hAnsi="Times New Roman"/>
          <w:sz w:val="32"/>
          <w:szCs w:val="32"/>
        </w:rPr>
        <w:t>、交易方案涉及吸收合并的，应当披露换股价格及确定方法、本次吸收合并的董事会决议明确的换股价格调整方案、异议股东权利保护安排、债权人权利保护安排等相关信息。</w:t>
      </w:r>
    </w:p>
    <w:p w14:paraId="6ED0EE1E"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十九</w:t>
      </w:r>
      <w:r>
        <w:rPr>
          <w:rFonts w:ascii="Times New Roman" w:eastAsia="仿宋" w:hAnsi="Times New Roman"/>
          <w:sz w:val="32"/>
          <w:szCs w:val="32"/>
        </w:rPr>
        <w:t>、交易方案涉及募集配套资金的，应当简要披露募集配套资金的预计金额及占发行证券购买资产交易价格的比例、证券发行情况、用途等相关信息。</w:t>
      </w:r>
    </w:p>
    <w:p w14:paraId="604BD674" w14:textId="77777777" w:rsidR="004C566C" w:rsidRDefault="004C566C" w:rsidP="004C566C">
      <w:pPr>
        <w:pStyle w:val="2"/>
        <w:spacing w:before="240" w:after="240" w:line="600" w:lineRule="exact"/>
        <w:rPr>
          <w:rFonts w:ascii="Times New Roman" w:hAnsi="Times New Roman"/>
          <w:bCs/>
          <w:sz w:val="32"/>
          <w:szCs w:val="32"/>
        </w:rPr>
      </w:pPr>
      <w:r>
        <w:rPr>
          <w:rFonts w:ascii="Times New Roman" w:hAnsi="Times New Roman"/>
          <w:sz w:val="32"/>
          <w:szCs w:val="32"/>
        </w:rPr>
        <w:t>第十一节</w:t>
      </w:r>
      <w:r>
        <w:rPr>
          <w:rFonts w:ascii="Times New Roman" w:hAnsi="Times New Roman"/>
          <w:sz w:val="32"/>
          <w:szCs w:val="32"/>
        </w:rPr>
        <w:t xml:space="preserve">  </w:t>
      </w:r>
      <w:r>
        <w:rPr>
          <w:rFonts w:ascii="Times New Roman" w:hAnsi="Times New Roman"/>
          <w:sz w:val="32"/>
          <w:szCs w:val="32"/>
        </w:rPr>
        <w:t>风险因素</w:t>
      </w:r>
    </w:p>
    <w:p w14:paraId="586F0D29"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二十、本次交易存在其他重大不确定性因素，包括尚需取得有关主管部门的批</w:t>
      </w:r>
      <w:r>
        <w:rPr>
          <w:rFonts w:ascii="Times New Roman" w:eastAsia="仿宋" w:hAnsi="Times New Roman" w:hint="eastAsia"/>
          <w:sz w:val="32"/>
          <w:szCs w:val="32"/>
        </w:rPr>
        <w:t>准</w:t>
      </w:r>
      <w:r>
        <w:rPr>
          <w:rFonts w:ascii="Times New Roman" w:eastAsia="仿宋" w:hAnsi="Times New Roman"/>
          <w:sz w:val="32"/>
          <w:szCs w:val="32"/>
        </w:rPr>
        <w:t>等情况的，应当对相关风险</w:t>
      </w:r>
      <w:proofErr w:type="gramStart"/>
      <w:r>
        <w:rPr>
          <w:rFonts w:ascii="Times New Roman" w:eastAsia="仿宋" w:hAnsi="Times New Roman"/>
          <w:sz w:val="32"/>
          <w:szCs w:val="32"/>
        </w:rPr>
        <w:t>作出</w:t>
      </w:r>
      <w:proofErr w:type="gramEnd"/>
      <w:r>
        <w:rPr>
          <w:rFonts w:ascii="Times New Roman" w:eastAsia="仿宋" w:hAnsi="Times New Roman"/>
          <w:sz w:val="32"/>
          <w:szCs w:val="32"/>
        </w:rPr>
        <w:t>充分说明和特别提示。</w:t>
      </w:r>
    </w:p>
    <w:p w14:paraId="3758C2C0" w14:textId="77777777" w:rsidR="004C566C" w:rsidRDefault="004C566C" w:rsidP="004C566C">
      <w:pPr>
        <w:pStyle w:val="2"/>
        <w:spacing w:before="240" w:after="240" w:line="600" w:lineRule="exact"/>
        <w:rPr>
          <w:rFonts w:ascii="Times New Roman" w:hAnsi="Times New Roman"/>
          <w:bCs/>
          <w:sz w:val="32"/>
          <w:szCs w:val="32"/>
        </w:rPr>
      </w:pPr>
      <w:r>
        <w:rPr>
          <w:rFonts w:ascii="Times New Roman" w:hAnsi="Times New Roman"/>
          <w:sz w:val="32"/>
          <w:szCs w:val="32"/>
        </w:rPr>
        <w:t>第十二节</w:t>
      </w:r>
      <w:r>
        <w:rPr>
          <w:rFonts w:ascii="Times New Roman" w:hAnsi="Times New Roman"/>
          <w:sz w:val="32"/>
          <w:szCs w:val="32"/>
        </w:rPr>
        <w:t xml:space="preserve">  </w:t>
      </w:r>
      <w:r>
        <w:rPr>
          <w:rFonts w:ascii="Times New Roman" w:hAnsi="Times New Roman"/>
          <w:sz w:val="32"/>
          <w:szCs w:val="32"/>
        </w:rPr>
        <w:t>其他重要事项</w:t>
      </w:r>
    </w:p>
    <w:p w14:paraId="633405F5"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二十</w:t>
      </w:r>
      <w:r>
        <w:rPr>
          <w:rFonts w:ascii="Times New Roman" w:eastAsia="仿宋" w:hAnsi="Times New Roman" w:hint="eastAsia"/>
          <w:sz w:val="32"/>
          <w:szCs w:val="32"/>
        </w:rPr>
        <w:t>一</w:t>
      </w:r>
      <w:r>
        <w:rPr>
          <w:rFonts w:ascii="Times New Roman" w:eastAsia="仿宋" w:hAnsi="Times New Roman"/>
          <w:sz w:val="32"/>
          <w:szCs w:val="32"/>
        </w:rPr>
        <w:t>、上市公司的控股股东及其一致行动人对本次重组的原则性意见，</w:t>
      </w:r>
      <w:r>
        <w:rPr>
          <w:rFonts w:ascii="Times New Roman" w:eastAsia="仿宋" w:hAnsi="Times New Roman" w:hint="eastAsia"/>
          <w:sz w:val="32"/>
          <w:szCs w:val="32"/>
        </w:rPr>
        <w:t>以</w:t>
      </w:r>
      <w:r>
        <w:rPr>
          <w:rFonts w:ascii="Times New Roman" w:eastAsia="仿宋" w:hAnsi="Times New Roman"/>
          <w:sz w:val="32"/>
          <w:szCs w:val="32"/>
        </w:rPr>
        <w:t>及控股股东及其一致行动人、董事、高级管理人员自本次重组预案披露之日起</w:t>
      </w:r>
      <w:proofErr w:type="gramStart"/>
      <w:r>
        <w:rPr>
          <w:rFonts w:ascii="Times New Roman" w:eastAsia="仿宋" w:hAnsi="Times New Roman"/>
          <w:sz w:val="32"/>
          <w:szCs w:val="32"/>
        </w:rPr>
        <w:t>至资产</w:t>
      </w:r>
      <w:proofErr w:type="gramEnd"/>
      <w:r>
        <w:rPr>
          <w:rFonts w:ascii="Times New Roman" w:eastAsia="仿宋" w:hAnsi="Times New Roman"/>
          <w:sz w:val="32"/>
          <w:szCs w:val="32"/>
        </w:rPr>
        <w:t>交付或者过户完毕期间的股份减持计划。</w:t>
      </w:r>
    </w:p>
    <w:p w14:paraId="5DD56969"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上市公司披露为无控股股东的，应当比照前述要求，披露第一大股东及持股</w:t>
      </w:r>
      <w:r>
        <w:rPr>
          <w:rFonts w:ascii="Times New Roman" w:eastAsia="仿宋" w:hAnsi="Times New Roman"/>
          <w:sz w:val="32"/>
          <w:szCs w:val="32"/>
        </w:rPr>
        <w:t>5%</w:t>
      </w:r>
      <w:r>
        <w:rPr>
          <w:rFonts w:ascii="Times New Roman" w:eastAsia="仿宋" w:hAnsi="Times New Roman"/>
          <w:sz w:val="32"/>
          <w:szCs w:val="32"/>
        </w:rPr>
        <w:t>以上股东的意见及减持计划。</w:t>
      </w:r>
    </w:p>
    <w:p w14:paraId="5F39C014"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二十</w:t>
      </w:r>
      <w:r>
        <w:rPr>
          <w:rFonts w:ascii="Times New Roman" w:eastAsia="仿宋" w:hAnsi="Times New Roman" w:hint="eastAsia"/>
          <w:sz w:val="32"/>
          <w:szCs w:val="32"/>
        </w:rPr>
        <w:t>二</w:t>
      </w:r>
      <w:r>
        <w:rPr>
          <w:rFonts w:ascii="Times New Roman" w:eastAsia="仿宋" w:hAnsi="Times New Roman"/>
          <w:sz w:val="32"/>
          <w:szCs w:val="32"/>
        </w:rPr>
        <w:t>、本次重组是否存在本指引第四十八条</w:t>
      </w:r>
      <w:r>
        <w:rPr>
          <w:rFonts w:ascii="Times New Roman" w:eastAsia="仿宋" w:hAnsi="Times New Roman" w:hint="eastAsia"/>
          <w:sz w:val="32"/>
          <w:szCs w:val="32"/>
        </w:rPr>
        <w:t>第一款</w:t>
      </w:r>
      <w:r>
        <w:rPr>
          <w:rFonts w:ascii="Times New Roman" w:eastAsia="仿宋" w:hAnsi="Times New Roman"/>
          <w:sz w:val="32"/>
          <w:szCs w:val="32"/>
        </w:rPr>
        <w:t>第一项</w:t>
      </w:r>
      <w:r>
        <w:rPr>
          <w:rFonts w:ascii="Times New Roman" w:eastAsia="仿宋" w:hAnsi="Times New Roman" w:hint="eastAsia"/>
          <w:sz w:val="32"/>
          <w:szCs w:val="32"/>
        </w:rPr>
        <w:t>和</w:t>
      </w:r>
      <w:r>
        <w:rPr>
          <w:rFonts w:ascii="Times New Roman" w:eastAsia="仿宋" w:hAnsi="Times New Roman"/>
          <w:sz w:val="32"/>
          <w:szCs w:val="32"/>
        </w:rPr>
        <w:t>第二项所列主体参与上市公司重大资产重组的情形。</w:t>
      </w:r>
    </w:p>
    <w:p w14:paraId="458A9E6D" w14:textId="77777777" w:rsidR="004C566C" w:rsidRDefault="004C566C" w:rsidP="004C566C">
      <w:pPr>
        <w:suppressAutoHyphens/>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二十</w:t>
      </w:r>
      <w:r>
        <w:rPr>
          <w:rFonts w:ascii="Times New Roman" w:eastAsia="仿宋" w:hAnsi="Times New Roman" w:hint="eastAsia"/>
          <w:sz w:val="32"/>
          <w:szCs w:val="32"/>
        </w:rPr>
        <w:t>三</w:t>
      </w:r>
      <w:r>
        <w:rPr>
          <w:rFonts w:ascii="Times New Roman" w:eastAsia="仿宋" w:hAnsi="Times New Roman"/>
          <w:sz w:val="32"/>
          <w:szCs w:val="32"/>
        </w:rPr>
        <w:t>、相关证券服务机构对重组预案已披露内容发表的核查意见（如适用）。</w:t>
      </w:r>
    </w:p>
    <w:p w14:paraId="54DD31C1" w14:textId="0016C725" w:rsidR="00BA4ED8" w:rsidRPr="00110616" w:rsidRDefault="00BA4ED8" w:rsidP="00110616">
      <w:pPr>
        <w:suppressAutoHyphens/>
        <w:spacing w:line="600" w:lineRule="exact"/>
        <w:rPr>
          <w:rFonts w:ascii="Times New Roman" w:eastAsia="仿宋" w:hAnsi="Times New Roman" w:hint="eastAsia"/>
          <w:sz w:val="32"/>
          <w:szCs w:val="32"/>
        </w:rPr>
      </w:pPr>
    </w:p>
    <w:sectPr w:rsidR="00BA4ED8" w:rsidRPr="00110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2E"/>
    <w:rsid w:val="00110616"/>
    <w:rsid w:val="004C566C"/>
    <w:rsid w:val="008C60C1"/>
    <w:rsid w:val="00BA4ED8"/>
    <w:rsid w:val="00C8155D"/>
    <w:rsid w:val="00CA2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920D"/>
  <w15:chartTrackingRefBased/>
  <w15:docId w15:val="{BBDFB929-059C-499E-A282-BF3F0F64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66C"/>
    <w:pPr>
      <w:widowControl w:val="0"/>
      <w:spacing w:after="160" w:line="278" w:lineRule="auto"/>
      <w:jc w:val="both"/>
    </w:pPr>
    <w:rPr>
      <w:rFonts w:ascii="Calibri" w:eastAsia="宋体" w:hAnsi="Calibri" w:cs="Times New Roman"/>
    </w:rPr>
  </w:style>
  <w:style w:type="paragraph" w:styleId="1">
    <w:name w:val="heading 1"/>
    <w:basedOn w:val="a"/>
    <w:next w:val="a"/>
    <w:link w:val="10"/>
    <w:uiPriority w:val="9"/>
    <w:qFormat/>
    <w:rsid w:val="00CA2B2E"/>
    <w:pPr>
      <w:keepNext/>
      <w:keepLines/>
      <w:spacing w:before="480" w:after="80" w:line="240" w:lineRule="auto"/>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CA2B2E"/>
    <w:pPr>
      <w:keepNext/>
      <w:keepLines/>
      <w:spacing w:before="160" w:after="80" w:line="240" w:lineRule="auto"/>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A2B2E"/>
    <w:pPr>
      <w:keepNext/>
      <w:keepLines/>
      <w:spacing w:before="160" w:after="80" w:line="240" w:lineRule="auto"/>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A2B2E"/>
    <w:pPr>
      <w:keepNext/>
      <w:keepLines/>
      <w:spacing w:before="80" w:after="40" w:line="240" w:lineRule="auto"/>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CA2B2E"/>
    <w:pPr>
      <w:keepNext/>
      <w:keepLines/>
      <w:spacing w:before="80" w:after="40" w:line="240" w:lineRule="auto"/>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CA2B2E"/>
    <w:pPr>
      <w:keepNext/>
      <w:keepLines/>
      <w:spacing w:before="40" w:after="0" w:line="240" w:lineRule="auto"/>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CA2B2E"/>
    <w:pPr>
      <w:keepNext/>
      <w:keepLines/>
      <w:spacing w:before="40" w:after="0" w:line="240" w:lineRule="auto"/>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CA2B2E"/>
    <w:pPr>
      <w:keepNext/>
      <w:keepLines/>
      <w:spacing w:after="0" w:line="240" w:lineRule="auto"/>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CA2B2E"/>
    <w:pPr>
      <w:keepNext/>
      <w:keepLines/>
      <w:spacing w:after="0" w:line="240" w:lineRule="auto"/>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B2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A2B2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A2B2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A2B2E"/>
    <w:rPr>
      <w:rFonts w:cstheme="majorBidi"/>
      <w:color w:val="0F4761" w:themeColor="accent1" w:themeShade="BF"/>
      <w:sz w:val="28"/>
      <w:szCs w:val="28"/>
    </w:rPr>
  </w:style>
  <w:style w:type="character" w:customStyle="1" w:styleId="50">
    <w:name w:val="标题 5 字符"/>
    <w:basedOn w:val="a0"/>
    <w:link w:val="5"/>
    <w:uiPriority w:val="9"/>
    <w:semiHidden/>
    <w:rsid w:val="00CA2B2E"/>
    <w:rPr>
      <w:rFonts w:cstheme="majorBidi"/>
      <w:color w:val="0F4761" w:themeColor="accent1" w:themeShade="BF"/>
      <w:sz w:val="24"/>
      <w:szCs w:val="24"/>
    </w:rPr>
  </w:style>
  <w:style w:type="character" w:customStyle="1" w:styleId="60">
    <w:name w:val="标题 6 字符"/>
    <w:basedOn w:val="a0"/>
    <w:link w:val="6"/>
    <w:uiPriority w:val="9"/>
    <w:semiHidden/>
    <w:rsid w:val="00CA2B2E"/>
    <w:rPr>
      <w:rFonts w:cstheme="majorBidi"/>
      <w:b/>
      <w:bCs/>
      <w:color w:val="0F4761" w:themeColor="accent1" w:themeShade="BF"/>
    </w:rPr>
  </w:style>
  <w:style w:type="character" w:customStyle="1" w:styleId="70">
    <w:name w:val="标题 7 字符"/>
    <w:basedOn w:val="a0"/>
    <w:link w:val="7"/>
    <w:uiPriority w:val="9"/>
    <w:semiHidden/>
    <w:rsid w:val="00CA2B2E"/>
    <w:rPr>
      <w:rFonts w:cstheme="majorBidi"/>
      <w:b/>
      <w:bCs/>
      <w:color w:val="595959" w:themeColor="text1" w:themeTint="A6"/>
    </w:rPr>
  </w:style>
  <w:style w:type="character" w:customStyle="1" w:styleId="80">
    <w:name w:val="标题 8 字符"/>
    <w:basedOn w:val="a0"/>
    <w:link w:val="8"/>
    <w:uiPriority w:val="9"/>
    <w:semiHidden/>
    <w:rsid w:val="00CA2B2E"/>
    <w:rPr>
      <w:rFonts w:cstheme="majorBidi"/>
      <w:color w:val="595959" w:themeColor="text1" w:themeTint="A6"/>
    </w:rPr>
  </w:style>
  <w:style w:type="character" w:customStyle="1" w:styleId="90">
    <w:name w:val="标题 9 字符"/>
    <w:basedOn w:val="a0"/>
    <w:link w:val="9"/>
    <w:uiPriority w:val="9"/>
    <w:semiHidden/>
    <w:rsid w:val="00CA2B2E"/>
    <w:rPr>
      <w:rFonts w:eastAsiaTheme="majorEastAsia" w:cstheme="majorBidi"/>
      <w:color w:val="595959" w:themeColor="text1" w:themeTint="A6"/>
    </w:rPr>
  </w:style>
  <w:style w:type="paragraph" w:styleId="a3">
    <w:name w:val="Title"/>
    <w:basedOn w:val="a"/>
    <w:next w:val="a"/>
    <w:link w:val="a4"/>
    <w:uiPriority w:val="10"/>
    <w:qFormat/>
    <w:rsid w:val="00CA2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B2E"/>
    <w:pPr>
      <w:numPr>
        <w:ilvl w:val="1"/>
      </w:numPr>
      <w:spacing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B2E"/>
    <w:pPr>
      <w:spacing w:before="160" w:line="240" w:lineRule="auto"/>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CA2B2E"/>
    <w:rPr>
      <w:i/>
      <w:iCs/>
      <w:color w:val="404040" w:themeColor="text1" w:themeTint="BF"/>
    </w:rPr>
  </w:style>
  <w:style w:type="paragraph" w:styleId="a9">
    <w:name w:val="List Paragraph"/>
    <w:basedOn w:val="a"/>
    <w:uiPriority w:val="34"/>
    <w:qFormat/>
    <w:rsid w:val="00CA2B2E"/>
    <w:pPr>
      <w:spacing w:after="0" w:line="240" w:lineRule="auto"/>
      <w:ind w:left="720"/>
      <w:contextualSpacing/>
    </w:pPr>
    <w:rPr>
      <w:rFonts w:asciiTheme="minorHAnsi" w:eastAsiaTheme="minorEastAsia" w:hAnsiTheme="minorHAnsi" w:cstheme="minorBidi"/>
    </w:rPr>
  </w:style>
  <w:style w:type="character" w:styleId="aa">
    <w:name w:val="Intense Emphasis"/>
    <w:basedOn w:val="a0"/>
    <w:uiPriority w:val="21"/>
    <w:qFormat/>
    <w:rsid w:val="00CA2B2E"/>
    <w:rPr>
      <w:i/>
      <w:iCs/>
      <w:color w:val="0F4761" w:themeColor="accent1" w:themeShade="BF"/>
    </w:rPr>
  </w:style>
  <w:style w:type="paragraph" w:styleId="ab">
    <w:name w:val="Intense Quote"/>
    <w:basedOn w:val="a"/>
    <w:next w:val="a"/>
    <w:link w:val="ac"/>
    <w:uiPriority w:val="30"/>
    <w:qFormat/>
    <w:rsid w:val="00CA2B2E"/>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CA2B2E"/>
    <w:rPr>
      <w:i/>
      <w:iCs/>
      <w:color w:val="0F4761" w:themeColor="accent1" w:themeShade="BF"/>
    </w:rPr>
  </w:style>
  <w:style w:type="character" w:styleId="ad">
    <w:name w:val="Intense Reference"/>
    <w:basedOn w:val="a0"/>
    <w:uiPriority w:val="32"/>
    <w:qFormat/>
    <w:rsid w:val="00CA2B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WenLiang Zhang</dc:creator>
  <cp:keywords/>
  <dc:description/>
  <cp:lastModifiedBy>WenLiang Zhang</cp:lastModifiedBy>
  <cp:revision>3</cp:revision>
  <dcterms:created xsi:type="dcterms:W3CDTF">2025-05-17T09:19:00Z</dcterms:created>
  <dcterms:modified xsi:type="dcterms:W3CDTF">2025-05-17T09:19:00Z</dcterms:modified>
</cp:coreProperties>
</file>